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DFF30" w14:textId="77777777" w:rsidR="00383157" w:rsidRDefault="00383157" w:rsidP="00D40900">
      <w:pPr>
        <w:jc w:val="center"/>
        <w:rPr>
          <w:b/>
          <w:iCs/>
        </w:rPr>
      </w:pPr>
    </w:p>
    <w:p w14:paraId="6E21DF01" w14:textId="28A79FE6" w:rsidR="00D40900" w:rsidRPr="007333AA" w:rsidRDefault="00D40900" w:rsidP="00D40900">
      <w:pPr>
        <w:jc w:val="center"/>
        <w:rPr>
          <w:b/>
          <w:iCs/>
        </w:rPr>
      </w:pPr>
      <w:r w:rsidRPr="007333AA">
        <w:rPr>
          <w:b/>
          <w:iCs/>
        </w:rPr>
        <w:t>TEXTO DEFINITIVO APROBADO EN LA SESIÓN DE LA COMISIÓN TERCERA PERMANENTE DE HACIENDA Y CRÉDITO PÚBLICO</w:t>
      </w:r>
    </w:p>
    <w:p w14:paraId="2475109E" w14:textId="4B23BCF6" w:rsidR="00D40900" w:rsidRDefault="00D40900" w:rsidP="00D40900">
      <w:pPr>
        <w:jc w:val="center"/>
        <w:rPr>
          <w:b/>
          <w:iCs/>
        </w:rPr>
      </w:pPr>
      <w:r w:rsidRPr="007333AA">
        <w:rPr>
          <w:b/>
          <w:iCs/>
        </w:rPr>
        <w:t xml:space="preserve">REALIZADA EL DÍA </w:t>
      </w:r>
      <w:r w:rsidR="00D6679F" w:rsidRPr="007333AA">
        <w:rPr>
          <w:b/>
          <w:iCs/>
        </w:rPr>
        <w:t>JUEV</w:t>
      </w:r>
      <w:r w:rsidRPr="007333AA">
        <w:rPr>
          <w:b/>
          <w:iCs/>
        </w:rPr>
        <w:t xml:space="preserve">ES </w:t>
      </w:r>
      <w:r w:rsidR="00D6679F" w:rsidRPr="007333AA">
        <w:rPr>
          <w:b/>
          <w:iCs/>
        </w:rPr>
        <w:t>5</w:t>
      </w:r>
      <w:r w:rsidRPr="007333AA">
        <w:rPr>
          <w:b/>
          <w:iCs/>
        </w:rPr>
        <w:t xml:space="preserve"> DE </w:t>
      </w:r>
      <w:r w:rsidR="008723BD" w:rsidRPr="007333AA">
        <w:rPr>
          <w:b/>
          <w:iCs/>
        </w:rPr>
        <w:t>JUNI</w:t>
      </w:r>
      <w:r w:rsidRPr="007333AA">
        <w:rPr>
          <w:b/>
          <w:iCs/>
        </w:rPr>
        <w:t>O DE 2025</w:t>
      </w:r>
    </w:p>
    <w:p w14:paraId="3515121E" w14:textId="77777777" w:rsidR="00383157" w:rsidRPr="007333AA" w:rsidRDefault="00383157" w:rsidP="00D40900">
      <w:pPr>
        <w:jc w:val="center"/>
        <w:rPr>
          <w:b/>
          <w:iCs/>
        </w:rPr>
      </w:pPr>
    </w:p>
    <w:p w14:paraId="1CE639B7" w14:textId="1764981A" w:rsidR="004D0443" w:rsidRPr="007333AA" w:rsidRDefault="00D40900" w:rsidP="008723BD">
      <w:pPr>
        <w:tabs>
          <w:tab w:val="left" w:pos="3119"/>
        </w:tabs>
        <w:jc w:val="both"/>
        <w:rPr>
          <w:b/>
          <w:iCs/>
        </w:rPr>
      </w:pPr>
      <w:r w:rsidRPr="007333AA">
        <w:rPr>
          <w:b/>
          <w:lang w:val="es-CO"/>
        </w:rPr>
        <w:t xml:space="preserve"> </w:t>
      </w:r>
    </w:p>
    <w:p w14:paraId="4BDE5206" w14:textId="626DE66A" w:rsidR="004A29ED" w:rsidRPr="007333AA" w:rsidRDefault="004A29ED" w:rsidP="004A29ED">
      <w:pPr>
        <w:jc w:val="center"/>
        <w:rPr>
          <w:b/>
          <w:bCs/>
        </w:rPr>
      </w:pPr>
      <w:bookmarkStart w:id="0" w:name="_heading=h.kjhb6djejv4e" w:colFirst="0" w:colLast="0"/>
      <w:bookmarkEnd w:id="0"/>
      <w:r w:rsidRPr="007333AA">
        <w:rPr>
          <w:b/>
          <w:bCs/>
        </w:rPr>
        <w:t xml:space="preserve">PROYECTO DE ACUERDO No. </w:t>
      </w:r>
      <w:r w:rsidR="00B02928">
        <w:rPr>
          <w:b/>
          <w:bCs/>
        </w:rPr>
        <w:t>524</w:t>
      </w:r>
      <w:r w:rsidRPr="007333AA">
        <w:rPr>
          <w:b/>
          <w:bCs/>
        </w:rPr>
        <w:t xml:space="preserve"> DE 2025</w:t>
      </w:r>
    </w:p>
    <w:p w14:paraId="2AFD8FA4" w14:textId="77777777" w:rsidR="004A29ED" w:rsidRPr="007333AA" w:rsidRDefault="004A29ED" w:rsidP="004A29ED">
      <w:pPr>
        <w:jc w:val="center"/>
        <w:rPr>
          <w:b/>
          <w:bCs/>
          <w:color w:val="FF0000"/>
        </w:rPr>
      </w:pPr>
    </w:p>
    <w:p w14:paraId="17A0916C" w14:textId="77777777" w:rsidR="00A765E5" w:rsidRPr="007333AA" w:rsidRDefault="00A765E5" w:rsidP="007333AA">
      <w:pPr>
        <w:pStyle w:val="Default"/>
        <w:jc w:val="center"/>
      </w:pPr>
    </w:p>
    <w:p w14:paraId="05F79363" w14:textId="5C2FA0AA" w:rsidR="00A765E5" w:rsidRPr="007333AA" w:rsidRDefault="00A765E5" w:rsidP="007333AA">
      <w:pPr>
        <w:pStyle w:val="Default"/>
        <w:jc w:val="center"/>
        <w:rPr>
          <w:i/>
          <w:iCs/>
        </w:rPr>
      </w:pPr>
      <w:r w:rsidRPr="007333AA">
        <w:rPr>
          <w:b/>
          <w:bCs/>
          <w:i/>
          <w:iCs/>
        </w:rPr>
        <w:t>“POR MEDIO DEL CUAL SE PROMUEVE EL USO TEMPORAL DE PREDIOS ADQUIRIDOS PARA PROYECTOS DE INFRAESTRUCTURA DE TRANSPORTE EN BOGOTÁ</w:t>
      </w:r>
      <w:r w:rsidR="007333AA">
        <w:rPr>
          <w:b/>
          <w:bCs/>
          <w:i/>
          <w:iCs/>
        </w:rPr>
        <w:t xml:space="preserve"> QUE AÚN NO HAN SIDO DESARROLLADOS</w:t>
      </w:r>
      <w:r w:rsidRPr="007333AA">
        <w:rPr>
          <w:b/>
          <w:bCs/>
          <w:i/>
          <w:iCs/>
        </w:rPr>
        <w:t xml:space="preserve"> Y SE DICTAN OTRAS DISPOSICIONES</w:t>
      </w:r>
      <w:r w:rsidRPr="007333AA">
        <w:rPr>
          <w:i/>
          <w:iCs/>
        </w:rPr>
        <w:t>”</w:t>
      </w:r>
    </w:p>
    <w:p w14:paraId="5D8020BC" w14:textId="77777777" w:rsidR="007333AA" w:rsidRPr="007333AA" w:rsidRDefault="007333AA" w:rsidP="00A765E5">
      <w:pPr>
        <w:pStyle w:val="Default"/>
      </w:pPr>
    </w:p>
    <w:p w14:paraId="05DDE475" w14:textId="04082579" w:rsidR="00A765E5" w:rsidRDefault="00A765E5" w:rsidP="007333AA">
      <w:pPr>
        <w:pStyle w:val="Default"/>
        <w:jc w:val="center"/>
      </w:pPr>
      <w:r w:rsidRPr="007333AA">
        <w:t>EL CONCEJO DE BOGOTÁ</w:t>
      </w:r>
    </w:p>
    <w:p w14:paraId="4792532C" w14:textId="77777777" w:rsidR="007333AA" w:rsidRPr="007333AA" w:rsidRDefault="007333AA" w:rsidP="007333AA">
      <w:pPr>
        <w:pStyle w:val="Default"/>
        <w:jc w:val="center"/>
      </w:pPr>
    </w:p>
    <w:p w14:paraId="2C92056B" w14:textId="7539963C" w:rsidR="00A765E5" w:rsidRDefault="00A765E5" w:rsidP="007333AA">
      <w:pPr>
        <w:pStyle w:val="Default"/>
        <w:jc w:val="center"/>
      </w:pPr>
      <w:r w:rsidRPr="007333AA">
        <w:t>En ejercicio de sus atribuciones constitucionales y legales y, en especial, de las que le confiere los numerales 1 y 25 del artículo 12 del Decreto Ley 1421 de 1993.</w:t>
      </w:r>
    </w:p>
    <w:p w14:paraId="3D457D33" w14:textId="2DE0DBAE" w:rsidR="007333AA" w:rsidRDefault="007333AA" w:rsidP="007333AA">
      <w:pPr>
        <w:pStyle w:val="Default"/>
        <w:jc w:val="center"/>
      </w:pPr>
    </w:p>
    <w:p w14:paraId="265866FF" w14:textId="77777777" w:rsidR="007333AA" w:rsidRPr="007333AA" w:rsidRDefault="007333AA" w:rsidP="007333AA">
      <w:pPr>
        <w:pStyle w:val="Default"/>
        <w:jc w:val="center"/>
      </w:pPr>
    </w:p>
    <w:p w14:paraId="78E69416" w14:textId="287414BD" w:rsidR="00A765E5" w:rsidRDefault="00A765E5" w:rsidP="007333AA">
      <w:pPr>
        <w:pStyle w:val="Default"/>
        <w:jc w:val="center"/>
      </w:pPr>
      <w:r w:rsidRPr="007333AA">
        <w:t>ACUERDA:</w:t>
      </w:r>
      <w:bookmarkStart w:id="1" w:name="_GoBack"/>
      <w:bookmarkEnd w:id="1"/>
    </w:p>
    <w:p w14:paraId="084C50CF" w14:textId="77777777" w:rsidR="007333AA" w:rsidRPr="007333AA" w:rsidRDefault="007333AA" w:rsidP="007333AA">
      <w:pPr>
        <w:pStyle w:val="Default"/>
        <w:jc w:val="center"/>
      </w:pPr>
    </w:p>
    <w:p w14:paraId="40CC155D" w14:textId="2A338342" w:rsidR="00A765E5" w:rsidRDefault="00A765E5" w:rsidP="007333AA">
      <w:pPr>
        <w:pStyle w:val="Default"/>
        <w:jc w:val="both"/>
      </w:pPr>
      <w:r w:rsidRPr="007333AA">
        <w:rPr>
          <w:b/>
          <w:bCs/>
        </w:rPr>
        <w:t xml:space="preserve">Artículo 1. Objeto. </w:t>
      </w:r>
      <w:r w:rsidRPr="007333AA">
        <w:t xml:space="preserve">El presente acuerdo tiene como finalidad promover, en el marco de las competencias legales y administrativas de las entidades del sector Movilidad, el uso temporal de predios adquiridos por el Distrito Capital para proyectos de infraestructura de transporte que aún no estén siendo utilizados. </w:t>
      </w:r>
    </w:p>
    <w:p w14:paraId="153F4B3A" w14:textId="77777777" w:rsidR="007333AA" w:rsidRPr="007333AA" w:rsidRDefault="007333AA" w:rsidP="007333AA">
      <w:pPr>
        <w:pStyle w:val="Default"/>
        <w:jc w:val="both"/>
      </w:pPr>
    </w:p>
    <w:p w14:paraId="705C76E9" w14:textId="022BC761" w:rsidR="00A765E5" w:rsidRDefault="00A765E5" w:rsidP="007333AA">
      <w:pPr>
        <w:pStyle w:val="Default"/>
        <w:jc w:val="both"/>
      </w:pPr>
      <w:r w:rsidRPr="007333AA">
        <w:rPr>
          <w:b/>
          <w:bCs/>
        </w:rPr>
        <w:t xml:space="preserve">Parágrafo. </w:t>
      </w:r>
      <w:r w:rsidR="007333AA">
        <w:t>S</w:t>
      </w:r>
      <w:r w:rsidRPr="007333AA">
        <w:t xml:space="preserve">e busca generar beneficios económicos, sociales y urbanos mientras se aseguran condiciones de construcción, operación y funcionalidad de estos bienes inmuebles. </w:t>
      </w:r>
    </w:p>
    <w:p w14:paraId="7FE67FF7" w14:textId="77777777" w:rsidR="007333AA" w:rsidRPr="007333AA" w:rsidRDefault="007333AA" w:rsidP="007333AA">
      <w:pPr>
        <w:pStyle w:val="Default"/>
        <w:jc w:val="both"/>
      </w:pPr>
    </w:p>
    <w:p w14:paraId="1C1CE9E2" w14:textId="6F5D0944" w:rsidR="00A765E5" w:rsidRDefault="00A765E5" w:rsidP="007333AA">
      <w:pPr>
        <w:ind w:left="-5" w:hanging="10"/>
        <w:jc w:val="both"/>
      </w:pPr>
      <w:r w:rsidRPr="007333AA">
        <w:rPr>
          <w:b/>
          <w:bCs/>
        </w:rPr>
        <w:t xml:space="preserve">Artículo 2. Ámbito de Aplicación. </w:t>
      </w:r>
      <w:r w:rsidRPr="007333AA">
        <w:t>Este acuerdo aplica a todos los predios adquiridos por el Distrito que aún no se hayan desarrollado y que, por su</w:t>
      </w:r>
      <w:r w:rsidR="007333AA">
        <w:t xml:space="preserve"> </w:t>
      </w:r>
      <w:r w:rsidRPr="007333AA">
        <w:t xml:space="preserve">naturaleza, uso o afectación han sido adquiridos para la ejecución de obras de infraestructura de transporte, incluidos aquellos vinculados al Sistema Integrado de Transporte Público (SITP). </w:t>
      </w:r>
    </w:p>
    <w:p w14:paraId="46210CE3" w14:textId="77777777" w:rsidR="007333AA" w:rsidRPr="007333AA" w:rsidRDefault="007333AA" w:rsidP="007333AA">
      <w:pPr>
        <w:ind w:left="-5" w:hanging="10"/>
        <w:jc w:val="both"/>
      </w:pPr>
    </w:p>
    <w:p w14:paraId="1C4537A1" w14:textId="7CF82B64" w:rsidR="00A765E5" w:rsidRDefault="00A765E5" w:rsidP="007333AA">
      <w:pPr>
        <w:pStyle w:val="Default"/>
        <w:jc w:val="both"/>
      </w:pPr>
      <w:r w:rsidRPr="007333AA">
        <w:rPr>
          <w:b/>
          <w:bCs/>
        </w:rPr>
        <w:lastRenderedPageBreak/>
        <w:t xml:space="preserve">Artículo 3. Actividades permitidas: </w:t>
      </w:r>
      <w:r w:rsidRPr="007333AA">
        <w:t xml:space="preserve">Para el aprovechamiento económico de los predios que por su naturaleza, uso o afectación hayan sido adquiridos para la ejecución de proyectos de infraestructura y los cuales aún no se encuentran en ejecución, se podrán realizar las actividades que en el marco regulatorio del aprovechamiento económico del espacio público hayan sido autorizadas de acuerdo con las competencias de las entidades gestoras. </w:t>
      </w:r>
    </w:p>
    <w:p w14:paraId="57A58DBE" w14:textId="77777777" w:rsidR="007333AA" w:rsidRPr="007333AA" w:rsidRDefault="007333AA" w:rsidP="007333AA">
      <w:pPr>
        <w:pStyle w:val="Default"/>
        <w:jc w:val="both"/>
      </w:pPr>
    </w:p>
    <w:p w14:paraId="2673DBA1" w14:textId="053B99F4" w:rsidR="00A765E5" w:rsidRDefault="00A765E5" w:rsidP="007333AA">
      <w:pPr>
        <w:pStyle w:val="Default"/>
        <w:jc w:val="both"/>
      </w:pPr>
      <w:r w:rsidRPr="007333AA">
        <w:rPr>
          <w:b/>
          <w:bCs/>
        </w:rPr>
        <w:t xml:space="preserve">Artículo 4. Implementación del proyecto piloto. </w:t>
      </w:r>
      <w:r w:rsidRPr="007333AA">
        <w:t xml:space="preserve">La Administración Distrital, a instancia de las entidades competentes, establecerá un proyecto piloto que, conforme con los protocolos adoptados, permita el aprovechamiento económico de los predios que por su naturaleza, uso o afectación están destinados a la ejecución de proyectos de infraestructura. </w:t>
      </w:r>
    </w:p>
    <w:p w14:paraId="5A8DD6A4" w14:textId="77777777" w:rsidR="007333AA" w:rsidRPr="007333AA" w:rsidRDefault="007333AA" w:rsidP="007333AA">
      <w:pPr>
        <w:pStyle w:val="Default"/>
        <w:jc w:val="both"/>
      </w:pPr>
    </w:p>
    <w:p w14:paraId="45BD758C" w14:textId="0E7049D7" w:rsidR="00A765E5" w:rsidRDefault="00A765E5" w:rsidP="007333AA">
      <w:pPr>
        <w:pStyle w:val="Default"/>
        <w:jc w:val="both"/>
      </w:pPr>
      <w:r w:rsidRPr="007333AA">
        <w:rPr>
          <w:b/>
          <w:bCs/>
        </w:rPr>
        <w:t xml:space="preserve">Parágrafo. </w:t>
      </w:r>
      <w:r w:rsidRPr="007333AA">
        <w:t xml:space="preserve">Las entidades competentes, de acuerdo con sus cronogramas de ejecución de obras, identificarán los predios en los que puedan autorizar aprovechamiento temporal durante los dos años siguientes a la publicación del presente acuerdo, siempre y cuando la ejecución de las obras no se afecte por el desarrollo de las actividades de aprovechamiento autorizadas en los predios. </w:t>
      </w:r>
    </w:p>
    <w:p w14:paraId="04CD850A" w14:textId="77777777" w:rsidR="007333AA" w:rsidRPr="007333AA" w:rsidRDefault="007333AA" w:rsidP="007333AA">
      <w:pPr>
        <w:pStyle w:val="Default"/>
        <w:jc w:val="both"/>
      </w:pPr>
    </w:p>
    <w:p w14:paraId="671730B1" w14:textId="282305D5" w:rsidR="00A765E5" w:rsidRDefault="00A765E5" w:rsidP="007333AA">
      <w:pPr>
        <w:pStyle w:val="Default"/>
        <w:jc w:val="both"/>
      </w:pPr>
      <w:r w:rsidRPr="007333AA">
        <w:rPr>
          <w:b/>
          <w:bCs/>
        </w:rPr>
        <w:t>Artículo 5. Acciones para implementar el aprovechamiento temporal.</w:t>
      </w:r>
      <w:r w:rsidR="007333AA">
        <w:rPr>
          <w:b/>
          <w:bCs/>
        </w:rPr>
        <w:t xml:space="preserve"> </w:t>
      </w:r>
      <w:r w:rsidRPr="007333AA">
        <w:t xml:space="preserve">Cada entidad gestora establecerá el procedimiento para el trámite de la autorización de las actividades permitidas y los requisitos de acuerdo con el protocolo adoptado por la entidad; en todo caso, las entidades gestoras implementarán los mecanismos que permitan la socialización de los protocolos. </w:t>
      </w:r>
    </w:p>
    <w:p w14:paraId="62A37F1A" w14:textId="77777777" w:rsidR="007333AA" w:rsidRPr="007333AA" w:rsidRDefault="007333AA" w:rsidP="007333AA">
      <w:pPr>
        <w:pStyle w:val="Default"/>
        <w:jc w:val="both"/>
      </w:pPr>
    </w:p>
    <w:p w14:paraId="7FB3D4B5" w14:textId="354FEBEA" w:rsidR="00A765E5" w:rsidRDefault="00A765E5" w:rsidP="007333AA">
      <w:pPr>
        <w:pStyle w:val="Default"/>
        <w:jc w:val="both"/>
      </w:pPr>
      <w:r w:rsidRPr="007333AA">
        <w:rPr>
          <w:b/>
          <w:bCs/>
        </w:rPr>
        <w:t xml:space="preserve">Artículo 6. Mitigación de impactos de las actividades temporales en predios destinados a infraestructura de transporte. </w:t>
      </w:r>
      <w:r w:rsidRPr="007333AA">
        <w:t xml:space="preserve">Las entidades deberán tener en cuenta para las autorizaciones de las actividades, los impactos y las acciones de mitigación, así como las actividades autorizadas y la normatividad vigente. </w:t>
      </w:r>
    </w:p>
    <w:p w14:paraId="561A3B89" w14:textId="77777777" w:rsidR="007333AA" w:rsidRPr="007333AA" w:rsidRDefault="007333AA" w:rsidP="007333AA">
      <w:pPr>
        <w:pStyle w:val="Default"/>
        <w:jc w:val="both"/>
      </w:pPr>
    </w:p>
    <w:p w14:paraId="520DD393" w14:textId="2BC7BCED" w:rsidR="00A765E5" w:rsidRDefault="00A765E5" w:rsidP="00383157">
      <w:pPr>
        <w:ind w:left="-5" w:hanging="10"/>
        <w:jc w:val="both"/>
      </w:pPr>
      <w:r w:rsidRPr="007333AA">
        <w:rPr>
          <w:b/>
          <w:bCs/>
        </w:rPr>
        <w:t xml:space="preserve">Artículo 7. Escalabilidad. </w:t>
      </w:r>
      <w:r w:rsidRPr="007333AA">
        <w:t>Con base en los resultados del proyecto piloto, la Administración Distrital podrá desarrollar un plan para expandir este modelo</w:t>
      </w:r>
      <w:r w:rsidR="00383157">
        <w:t xml:space="preserve"> </w:t>
      </w:r>
      <w:r w:rsidRPr="007333AA">
        <w:t xml:space="preserve">a otras zonas o proyectos de Bogotá, y los procedimientos operativos según los aprendizajes obtenidos. </w:t>
      </w:r>
    </w:p>
    <w:p w14:paraId="685BBC22" w14:textId="77777777" w:rsidR="007333AA" w:rsidRPr="007333AA" w:rsidRDefault="007333AA" w:rsidP="007333AA">
      <w:pPr>
        <w:pStyle w:val="Default"/>
        <w:jc w:val="both"/>
      </w:pPr>
    </w:p>
    <w:p w14:paraId="777A8D09" w14:textId="224D5E1D" w:rsidR="00A765E5" w:rsidRDefault="00A765E5" w:rsidP="007333AA">
      <w:pPr>
        <w:pStyle w:val="Default"/>
        <w:jc w:val="both"/>
      </w:pPr>
      <w:r w:rsidRPr="007333AA">
        <w:rPr>
          <w:b/>
          <w:bCs/>
        </w:rPr>
        <w:t xml:space="preserve">Artículo 8. Participación ciudadana. </w:t>
      </w:r>
      <w:r w:rsidRPr="007333AA">
        <w:t xml:space="preserve">Se impulsará la participación de la ciudadanía en las actividades temporales del presente acuerdo, mediante los mecanismos que la administración considere dentro de sus competencias. </w:t>
      </w:r>
    </w:p>
    <w:p w14:paraId="0D203862" w14:textId="77777777" w:rsidR="007333AA" w:rsidRPr="007333AA" w:rsidRDefault="007333AA" w:rsidP="007333AA">
      <w:pPr>
        <w:pStyle w:val="Default"/>
        <w:jc w:val="both"/>
      </w:pPr>
    </w:p>
    <w:p w14:paraId="562A688B" w14:textId="33817BEB" w:rsidR="00A765E5" w:rsidRPr="007333AA" w:rsidRDefault="00A765E5" w:rsidP="007333AA">
      <w:pPr>
        <w:ind w:left="-5" w:hanging="10"/>
        <w:jc w:val="both"/>
      </w:pPr>
      <w:r w:rsidRPr="007333AA">
        <w:rPr>
          <w:b/>
          <w:bCs/>
        </w:rPr>
        <w:t xml:space="preserve">Artículo 9. Vigencia. </w:t>
      </w:r>
      <w:r w:rsidRPr="007333AA">
        <w:t>El presente acuerdo rige a partir de su publicación.</w:t>
      </w:r>
    </w:p>
    <w:p w14:paraId="41121716" w14:textId="77777777" w:rsidR="004A29ED" w:rsidRPr="007333AA" w:rsidRDefault="004A29ED" w:rsidP="007333AA">
      <w:pPr>
        <w:spacing w:line="264" w:lineRule="auto"/>
        <w:jc w:val="both"/>
        <w:rPr>
          <w:i/>
        </w:rPr>
      </w:pPr>
    </w:p>
    <w:p w14:paraId="133D6F6B" w14:textId="77777777" w:rsidR="009D54BD" w:rsidRPr="007333AA" w:rsidRDefault="009D54BD" w:rsidP="008723BD">
      <w:pPr>
        <w:pBdr>
          <w:top w:val="nil"/>
          <w:left w:val="nil"/>
          <w:bottom w:val="nil"/>
          <w:right w:val="nil"/>
          <w:between w:val="nil"/>
        </w:pBdr>
        <w:jc w:val="center"/>
        <w:rPr>
          <w:b/>
          <w:color w:val="000000"/>
        </w:rPr>
      </w:pPr>
    </w:p>
    <w:p w14:paraId="1CE639F6" w14:textId="03B7EBEF" w:rsidR="004D0443" w:rsidRPr="007333AA" w:rsidRDefault="008723BD" w:rsidP="009D54BD">
      <w:pPr>
        <w:pBdr>
          <w:top w:val="nil"/>
          <w:left w:val="nil"/>
          <w:bottom w:val="nil"/>
          <w:right w:val="nil"/>
          <w:between w:val="nil"/>
        </w:pBdr>
        <w:jc w:val="center"/>
        <w:rPr>
          <w:b/>
          <w:color w:val="000000"/>
        </w:rPr>
      </w:pPr>
      <w:r w:rsidRPr="007333AA">
        <w:rPr>
          <w:b/>
          <w:color w:val="000000"/>
        </w:rPr>
        <w:t>PUBLÍQUESE Y CÚMPLASE</w:t>
      </w:r>
    </w:p>
    <w:sectPr w:rsidR="004D0443" w:rsidRPr="007333AA" w:rsidSect="008723BD">
      <w:headerReference w:type="default" r:id="rId8"/>
      <w:footerReference w:type="even" r:id="rId9"/>
      <w:footerReference w:type="default" r:id="rId10"/>
      <w:pgSz w:w="12240" w:h="15840"/>
      <w:pgMar w:top="1820" w:right="1440" w:bottom="2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4CFA3" w14:textId="77777777" w:rsidR="00F20154" w:rsidRDefault="00F20154">
      <w:r>
        <w:separator/>
      </w:r>
    </w:p>
  </w:endnote>
  <w:endnote w:type="continuationSeparator" w:id="0">
    <w:p w14:paraId="6D9EABE4" w14:textId="77777777" w:rsidR="00F20154" w:rsidRDefault="00F2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D" w14:textId="77777777" w:rsidR="004D0443" w:rsidRDefault="00DA3067">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CE63A2E" w14:textId="77777777" w:rsidR="004D0443" w:rsidRDefault="004D044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F"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0"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1" w14:textId="77777777" w:rsidR="004D0443" w:rsidRDefault="004D0443">
    <w:pPr>
      <w:pBdr>
        <w:top w:val="nil"/>
        <w:left w:val="nil"/>
        <w:bottom w:val="nil"/>
        <w:right w:val="nil"/>
        <w:between w:val="nil"/>
      </w:pBdr>
      <w:tabs>
        <w:tab w:val="center" w:pos="4252"/>
        <w:tab w:val="right" w:pos="8504"/>
      </w:tabs>
      <w:jc w:val="center"/>
      <w:rPr>
        <w:color w:val="000000"/>
        <w:sz w:val="16"/>
        <w:szCs w:val="16"/>
      </w:rPr>
    </w:pPr>
  </w:p>
  <w:p w14:paraId="1CE63A32"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3"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4" w14:textId="77777777" w:rsidR="004D0443" w:rsidRDefault="004D0443">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71CC1" w14:textId="77777777" w:rsidR="00F20154" w:rsidRDefault="00F20154">
      <w:r>
        <w:separator/>
      </w:r>
    </w:p>
  </w:footnote>
  <w:footnote w:type="continuationSeparator" w:id="0">
    <w:p w14:paraId="6BB37D66" w14:textId="77777777" w:rsidR="00F20154" w:rsidRDefault="00F20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1F" w14:textId="77777777" w:rsidR="004D0443" w:rsidRDefault="004D0443">
    <w:pPr>
      <w:widowControl w:val="0"/>
      <w:pBdr>
        <w:top w:val="nil"/>
        <w:left w:val="nil"/>
        <w:bottom w:val="nil"/>
        <w:right w:val="nil"/>
        <w:between w:val="nil"/>
      </w:pBdr>
      <w:spacing w:line="276" w:lineRule="auto"/>
      <w:rPr>
        <w:rFonts w:ascii="Bookman Old Style" w:eastAsia="Bookman Old Style" w:hAnsi="Bookman Old Style" w:cs="Bookman Old Style"/>
        <w:sz w:val="20"/>
        <w:szCs w:val="20"/>
      </w:rPr>
    </w:pPr>
  </w:p>
  <w:tbl>
    <w:tblPr>
      <w:tblStyle w:val="aff4"/>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4D0443" w14:paraId="1CE63A23" w14:textId="77777777">
      <w:trPr>
        <w:trHeight w:val="454"/>
      </w:trPr>
      <w:tc>
        <w:tcPr>
          <w:tcW w:w="2361" w:type="dxa"/>
          <w:vMerge w:val="restart"/>
          <w:vAlign w:val="center"/>
        </w:tcPr>
        <w:p w14:paraId="1CE63A20" w14:textId="77777777" w:rsidR="004D0443" w:rsidRDefault="00DA3067">
          <w:pPr>
            <w:jc w:val="center"/>
            <w:rPr>
              <w:sz w:val="16"/>
              <w:szCs w:val="16"/>
            </w:rPr>
          </w:pPr>
          <w:r>
            <w:rPr>
              <w:noProof/>
              <w:sz w:val="16"/>
              <w:szCs w:val="16"/>
              <w:lang w:val="es-CO"/>
            </w:rPr>
            <w:drawing>
              <wp:inline distT="0" distB="0" distL="0" distR="0" wp14:anchorId="1CE63A35" wp14:editId="1CE63A36">
                <wp:extent cx="749935" cy="883920"/>
                <wp:effectExtent l="0" t="0" r="0" b="0"/>
                <wp:docPr id="152"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vAlign w:val="center"/>
        </w:tcPr>
        <w:p w14:paraId="1CE63A21" w14:textId="77777777" w:rsidR="004D0443" w:rsidRDefault="00DA3067">
          <w:pPr>
            <w:jc w:val="center"/>
            <w:rPr>
              <w:sz w:val="18"/>
              <w:szCs w:val="18"/>
            </w:rPr>
          </w:pPr>
          <w:r>
            <w:rPr>
              <w:sz w:val="18"/>
              <w:szCs w:val="18"/>
            </w:rPr>
            <w:t>PROCESO GESTIÓN NORMATIVA</w:t>
          </w:r>
        </w:p>
      </w:tc>
      <w:tc>
        <w:tcPr>
          <w:tcW w:w="2234" w:type="dxa"/>
          <w:vAlign w:val="center"/>
        </w:tcPr>
        <w:p w14:paraId="1CE63A22" w14:textId="77777777" w:rsidR="004D0443" w:rsidRDefault="00DA3067">
          <w:pPr>
            <w:rPr>
              <w:sz w:val="16"/>
              <w:szCs w:val="16"/>
            </w:rPr>
          </w:pPr>
          <w:r>
            <w:rPr>
              <w:sz w:val="16"/>
              <w:szCs w:val="16"/>
            </w:rPr>
            <w:t>CÓDIGO</w:t>
          </w:r>
          <w:r>
            <w:rPr>
              <w:color w:val="3366FF"/>
              <w:sz w:val="16"/>
              <w:szCs w:val="16"/>
            </w:rPr>
            <w:t xml:space="preserve">: </w:t>
          </w:r>
          <w:r>
            <w:rPr>
              <w:sz w:val="16"/>
              <w:szCs w:val="16"/>
            </w:rPr>
            <w:t>GNV-FO-001</w:t>
          </w:r>
        </w:p>
      </w:tc>
    </w:tr>
    <w:tr w:rsidR="004D0443" w14:paraId="1CE63A27" w14:textId="77777777">
      <w:trPr>
        <w:trHeight w:val="454"/>
      </w:trPr>
      <w:tc>
        <w:tcPr>
          <w:tcW w:w="2361" w:type="dxa"/>
          <w:vMerge/>
          <w:vAlign w:val="center"/>
        </w:tcPr>
        <w:p w14:paraId="1CE63A24"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restart"/>
          <w:vAlign w:val="center"/>
        </w:tcPr>
        <w:p w14:paraId="1CE63A25" w14:textId="77777777" w:rsidR="004D0443" w:rsidRDefault="00DA3067">
          <w:pPr>
            <w:jc w:val="center"/>
            <w:rPr>
              <w:sz w:val="20"/>
              <w:szCs w:val="20"/>
            </w:rPr>
          </w:pPr>
          <w:r>
            <w:rPr>
              <w:sz w:val="20"/>
              <w:szCs w:val="20"/>
            </w:rPr>
            <w:t>PRESENTACIÓN PROYECTOS DE ACUERDO</w:t>
          </w:r>
        </w:p>
      </w:tc>
      <w:tc>
        <w:tcPr>
          <w:tcW w:w="2234" w:type="dxa"/>
          <w:vAlign w:val="center"/>
        </w:tcPr>
        <w:p w14:paraId="1CE63A26" w14:textId="77777777" w:rsidR="004D0443" w:rsidRDefault="00DA3067">
          <w:pPr>
            <w:rPr>
              <w:sz w:val="16"/>
              <w:szCs w:val="16"/>
            </w:rPr>
          </w:pPr>
          <w:r>
            <w:rPr>
              <w:sz w:val="16"/>
              <w:szCs w:val="16"/>
            </w:rPr>
            <w:t>VERSIÓN:    02</w:t>
          </w:r>
        </w:p>
      </w:tc>
    </w:tr>
    <w:tr w:rsidR="004D0443" w14:paraId="1CE63A2B" w14:textId="77777777">
      <w:trPr>
        <w:trHeight w:val="454"/>
      </w:trPr>
      <w:tc>
        <w:tcPr>
          <w:tcW w:w="2361" w:type="dxa"/>
          <w:vMerge/>
          <w:vAlign w:val="center"/>
        </w:tcPr>
        <w:p w14:paraId="1CE63A28"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ign w:val="center"/>
        </w:tcPr>
        <w:p w14:paraId="1CE63A29" w14:textId="77777777" w:rsidR="004D0443" w:rsidRDefault="004D0443">
          <w:pPr>
            <w:widowControl w:val="0"/>
            <w:pBdr>
              <w:top w:val="nil"/>
              <w:left w:val="nil"/>
              <w:bottom w:val="nil"/>
              <w:right w:val="nil"/>
              <w:between w:val="nil"/>
            </w:pBdr>
            <w:spacing w:line="276" w:lineRule="auto"/>
            <w:rPr>
              <w:sz w:val="16"/>
              <w:szCs w:val="16"/>
            </w:rPr>
          </w:pPr>
        </w:p>
      </w:tc>
      <w:tc>
        <w:tcPr>
          <w:tcW w:w="2234" w:type="dxa"/>
          <w:vAlign w:val="center"/>
        </w:tcPr>
        <w:p w14:paraId="1CE63A2A" w14:textId="77777777" w:rsidR="004D0443" w:rsidRDefault="00DA3067">
          <w:pPr>
            <w:rPr>
              <w:sz w:val="16"/>
              <w:szCs w:val="16"/>
            </w:rPr>
          </w:pPr>
          <w:r>
            <w:rPr>
              <w:sz w:val="16"/>
              <w:szCs w:val="16"/>
            </w:rPr>
            <w:t>FECHA: 14-Nov-2019</w:t>
          </w:r>
        </w:p>
      </w:tc>
    </w:tr>
  </w:tbl>
  <w:p w14:paraId="1CE63A2C" w14:textId="77777777" w:rsidR="004D0443" w:rsidRDefault="004D044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059F5"/>
    <w:multiLevelType w:val="multilevel"/>
    <w:tmpl w:val="AD202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2530D6"/>
    <w:multiLevelType w:val="multilevel"/>
    <w:tmpl w:val="5BE023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E341DA"/>
    <w:multiLevelType w:val="hybridMultilevel"/>
    <w:tmpl w:val="2CC02CFA"/>
    <w:lvl w:ilvl="0" w:tplc="BB564FB8">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C5AE4E38">
      <w:numFmt w:val="bullet"/>
      <w:lvlText w:val="•"/>
      <w:lvlJc w:val="left"/>
      <w:pPr>
        <w:ind w:left="1818" w:hanging="361"/>
      </w:pPr>
      <w:rPr>
        <w:rFonts w:hint="default"/>
        <w:lang w:val="es-ES" w:eastAsia="en-US" w:bidi="ar-SA"/>
      </w:rPr>
    </w:lvl>
    <w:lvl w:ilvl="2" w:tplc="384C4866">
      <w:numFmt w:val="bullet"/>
      <w:lvlText w:val="•"/>
      <w:lvlJc w:val="left"/>
      <w:pPr>
        <w:ind w:left="2656" w:hanging="361"/>
      </w:pPr>
      <w:rPr>
        <w:rFonts w:hint="default"/>
        <w:lang w:val="es-ES" w:eastAsia="en-US" w:bidi="ar-SA"/>
      </w:rPr>
    </w:lvl>
    <w:lvl w:ilvl="3" w:tplc="BED8F58A">
      <w:numFmt w:val="bullet"/>
      <w:lvlText w:val="•"/>
      <w:lvlJc w:val="left"/>
      <w:pPr>
        <w:ind w:left="3494" w:hanging="361"/>
      </w:pPr>
      <w:rPr>
        <w:rFonts w:hint="default"/>
        <w:lang w:val="es-ES" w:eastAsia="en-US" w:bidi="ar-SA"/>
      </w:rPr>
    </w:lvl>
    <w:lvl w:ilvl="4" w:tplc="69763BBE">
      <w:numFmt w:val="bullet"/>
      <w:lvlText w:val="•"/>
      <w:lvlJc w:val="left"/>
      <w:pPr>
        <w:ind w:left="4332" w:hanging="361"/>
      </w:pPr>
      <w:rPr>
        <w:rFonts w:hint="default"/>
        <w:lang w:val="es-ES" w:eastAsia="en-US" w:bidi="ar-SA"/>
      </w:rPr>
    </w:lvl>
    <w:lvl w:ilvl="5" w:tplc="7630AA76">
      <w:numFmt w:val="bullet"/>
      <w:lvlText w:val="•"/>
      <w:lvlJc w:val="left"/>
      <w:pPr>
        <w:ind w:left="5170" w:hanging="361"/>
      </w:pPr>
      <w:rPr>
        <w:rFonts w:hint="default"/>
        <w:lang w:val="es-ES" w:eastAsia="en-US" w:bidi="ar-SA"/>
      </w:rPr>
    </w:lvl>
    <w:lvl w:ilvl="6" w:tplc="1DC09A94">
      <w:numFmt w:val="bullet"/>
      <w:lvlText w:val="•"/>
      <w:lvlJc w:val="left"/>
      <w:pPr>
        <w:ind w:left="6008" w:hanging="361"/>
      </w:pPr>
      <w:rPr>
        <w:rFonts w:hint="default"/>
        <w:lang w:val="es-ES" w:eastAsia="en-US" w:bidi="ar-SA"/>
      </w:rPr>
    </w:lvl>
    <w:lvl w:ilvl="7" w:tplc="C658CE04">
      <w:numFmt w:val="bullet"/>
      <w:lvlText w:val="•"/>
      <w:lvlJc w:val="left"/>
      <w:pPr>
        <w:ind w:left="6846" w:hanging="361"/>
      </w:pPr>
      <w:rPr>
        <w:rFonts w:hint="default"/>
        <w:lang w:val="es-ES" w:eastAsia="en-US" w:bidi="ar-SA"/>
      </w:rPr>
    </w:lvl>
    <w:lvl w:ilvl="8" w:tplc="E5FEDF1E">
      <w:numFmt w:val="bullet"/>
      <w:lvlText w:val="•"/>
      <w:lvlJc w:val="left"/>
      <w:pPr>
        <w:ind w:left="7684" w:hanging="361"/>
      </w:pPr>
      <w:rPr>
        <w:rFonts w:hint="default"/>
        <w:lang w:val="es-ES" w:eastAsia="en-US" w:bidi="ar-SA"/>
      </w:rPr>
    </w:lvl>
  </w:abstractNum>
  <w:abstractNum w:abstractNumId="3" w15:restartNumberingAfterBreak="0">
    <w:nsid w:val="46F3240F"/>
    <w:multiLevelType w:val="multilevel"/>
    <w:tmpl w:val="38A0CC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411208E"/>
    <w:multiLevelType w:val="hybridMultilevel"/>
    <w:tmpl w:val="508A1F14"/>
    <w:lvl w:ilvl="0" w:tplc="8E3E511C">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2C5E767C">
      <w:numFmt w:val="bullet"/>
      <w:lvlText w:val="•"/>
      <w:lvlJc w:val="left"/>
      <w:pPr>
        <w:ind w:left="1818" w:hanging="361"/>
      </w:pPr>
      <w:rPr>
        <w:rFonts w:hint="default"/>
        <w:lang w:val="es-ES" w:eastAsia="en-US" w:bidi="ar-SA"/>
      </w:rPr>
    </w:lvl>
    <w:lvl w:ilvl="2" w:tplc="D37CF61A">
      <w:numFmt w:val="bullet"/>
      <w:lvlText w:val="•"/>
      <w:lvlJc w:val="left"/>
      <w:pPr>
        <w:ind w:left="2656" w:hanging="361"/>
      </w:pPr>
      <w:rPr>
        <w:rFonts w:hint="default"/>
        <w:lang w:val="es-ES" w:eastAsia="en-US" w:bidi="ar-SA"/>
      </w:rPr>
    </w:lvl>
    <w:lvl w:ilvl="3" w:tplc="F45AA688">
      <w:numFmt w:val="bullet"/>
      <w:lvlText w:val="•"/>
      <w:lvlJc w:val="left"/>
      <w:pPr>
        <w:ind w:left="3494" w:hanging="361"/>
      </w:pPr>
      <w:rPr>
        <w:rFonts w:hint="default"/>
        <w:lang w:val="es-ES" w:eastAsia="en-US" w:bidi="ar-SA"/>
      </w:rPr>
    </w:lvl>
    <w:lvl w:ilvl="4" w:tplc="20DE55CA">
      <w:numFmt w:val="bullet"/>
      <w:lvlText w:val="•"/>
      <w:lvlJc w:val="left"/>
      <w:pPr>
        <w:ind w:left="4332" w:hanging="361"/>
      </w:pPr>
      <w:rPr>
        <w:rFonts w:hint="default"/>
        <w:lang w:val="es-ES" w:eastAsia="en-US" w:bidi="ar-SA"/>
      </w:rPr>
    </w:lvl>
    <w:lvl w:ilvl="5" w:tplc="900EFDA0">
      <w:numFmt w:val="bullet"/>
      <w:lvlText w:val="•"/>
      <w:lvlJc w:val="left"/>
      <w:pPr>
        <w:ind w:left="5170" w:hanging="361"/>
      </w:pPr>
      <w:rPr>
        <w:rFonts w:hint="default"/>
        <w:lang w:val="es-ES" w:eastAsia="en-US" w:bidi="ar-SA"/>
      </w:rPr>
    </w:lvl>
    <w:lvl w:ilvl="6" w:tplc="87F2DE70">
      <w:numFmt w:val="bullet"/>
      <w:lvlText w:val="•"/>
      <w:lvlJc w:val="left"/>
      <w:pPr>
        <w:ind w:left="6008" w:hanging="361"/>
      </w:pPr>
      <w:rPr>
        <w:rFonts w:hint="default"/>
        <w:lang w:val="es-ES" w:eastAsia="en-US" w:bidi="ar-SA"/>
      </w:rPr>
    </w:lvl>
    <w:lvl w:ilvl="7" w:tplc="2E909536">
      <w:numFmt w:val="bullet"/>
      <w:lvlText w:val="•"/>
      <w:lvlJc w:val="left"/>
      <w:pPr>
        <w:ind w:left="6846" w:hanging="361"/>
      </w:pPr>
      <w:rPr>
        <w:rFonts w:hint="default"/>
        <w:lang w:val="es-ES" w:eastAsia="en-US" w:bidi="ar-SA"/>
      </w:rPr>
    </w:lvl>
    <w:lvl w:ilvl="8" w:tplc="D5C0DEEC">
      <w:numFmt w:val="bullet"/>
      <w:lvlText w:val="•"/>
      <w:lvlJc w:val="left"/>
      <w:pPr>
        <w:ind w:left="7684" w:hanging="361"/>
      </w:pPr>
      <w:rPr>
        <w:rFonts w:hint="default"/>
        <w:lang w:val="es-ES" w:eastAsia="en-US" w:bidi="ar-SA"/>
      </w:rPr>
    </w:lvl>
  </w:abstractNum>
  <w:abstractNum w:abstractNumId="5" w15:restartNumberingAfterBreak="0">
    <w:nsid w:val="6CCB6DB1"/>
    <w:multiLevelType w:val="hybridMultilevel"/>
    <w:tmpl w:val="67B027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443"/>
    <w:rsid w:val="000414C1"/>
    <w:rsid w:val="0009008E"/>
    <w:rsid w:val="000E63D8"/>
    <w:rsid w:val="00383157"/>
    <w:rsid w:val="003D176C"/>
    <w:rsid w:val="003E1864"/>
    <w:rsid w:val="004021AA"/>
    <w:rsid w:val="004A29ED"/>
    <w:rsid w:val="004B7125"/>
    <w:rsid w:val="004D0443"/>
    <w:rsid w:val="005D1EBD"/>
    <w:rsid w:val="006321D3"/>
    <w:rsid w:val="00635C07"/>
    <w:rsid w:val="007333AA"/>
    <w:rsid w:val="00795DEE"/>
    <w:rsid w:val="008723BD"/>
    <w:rsid w:val="008D20E0"/>
    <w:rsid w:val="009851AA"/>
    <w:rsid w:val="009C472A"/>
    <w:rsid w:val="009D54BD"/>
    <w:rsid w:val="00A765E5"/>
    <w:rsid w:val="00AB591A"/>
    <w:rsid w:val="00AB5DE9"/>
    <w:rsid w:val="00AE012B"/>
    <w:rsid w:val="00AF6941"/>
    <w:rsid w:val="00B02928"/>
    <w:rsid w:val="00B21F7F"/>
    <w:rsid w:val="00C6503D"/>
    <w:rsid w:val="00C95019"/>
    <w:rsid w:val="00D40900"/>
    <w:rsid w:val="00D60025"/>
    <w:rsid w:val="00D6679F"/>
    <w:rsid w:val="00DA3067"/>
    <w:rsid w:val="00DE0C0D"/>
    <w:rsid w:val="00E01BF5"/>
    <w:rsid w:val="00E15EED"/>
    <w:rsid w:val="00EB102C"/>
    <w:rsid w:val="00F20154"/>
    <w:rsid w:val="00FC36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37B8"/>
  <w15:docId w15:val="{7C3F68D0-CD3E-4333-9119-E4652098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d"/>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573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7344"/>
    <w:rPr>
      <w:rFonts w:ascii="Segoe UI" w:hAnsi="Segoe UI" w:cs="Segoe UI"/>
      <w:sz w:val="18"/>
      <w:szCs w:val="18"/>
    </w:rPr>
  </w:style>
  <w:style w:type="paragraph" w:styleId="Revisin">
    <w:name w:val="Revision"/>
    <w:hidden/>
    <w:uiPriority w:val="99"/>
    <w:semiHidden/>
    <w:rsid w:val="00957344"/>
  </w:style>
  <w:style w:type="paragraph" w:styleId="Encabezado">
    <w:name w:val="header"/>
    <w:basedOn w:val="Normal"/>
    <w:link w:val="EncabezadoCar"/>
    <w:uiPriority w:val="99"/>
    <w:unhideWhenUsed/>
    <w:rsid w:val="005240A3"/>
    <w:pPr>
      <w:tabs>
        <w:tab w:val="center" w:pos="4419"/>
        <w:tab w:val="right" w:pos="8838"/>
      </w:tabs>
    </w:pPr>
  </w:style>
  <w:style w:type="character" w:customStyle="1" w:styleId="EncabezadoCar">
    <w:name w:val="Encabezado Car"/>
    <w:basedOn w:val="Fuentedeprrafopredeter"/>
    <w:link w:val="Encabezado"/>
    <w:uiPriority w:val="99"/>
    <w:rsid w:val="005240A3"/>
  </w:style>
  <w:style w:type="paragraph" w:styleId="Piedepgina">
    <w:name w:val="footer"/>
    <w:basedOn w:val="Normal"/>
    <w:link w:val="PiedepginaCar"/>
    <w:uiPriority w:val="99"/>
    <w:unhideWhenUsed/>
    <w:rsid w:val="005240A3"/>
    <w:pPr>
      <w:tabs>
        <w:tab w:val="center" w:pos="4419"/>
        <w:tab w:val="right" w:pos="8838"/>
      </w:tabs>
    </w:pPr>
  </w:style>
  <w:style w:type="character" w:customStyle="1" w:styleId="PiedepginaCar">
    <w:name w:val="Pie de página Car"/>
    <w:basedOn w:val="Fuentedeprrafopredeter"/>
    <w:link w:val="Piedepgina"/>
    <w:uiPriority w:val="99"/>
    <w:rsid w:val="005240A3"/>
  </w:style>
  <w:style w:type="table" w:customStyle="1" w:styleId="a0">
    <w:basedOn w:val="TableNormald"/>
    <w:tblPr>
      <w:tblStyleRowBandSize w:val="1"/>
      <w:tblStyleColBandSize w:val="1"/>
      <w:tblCellMar>
        <w:left w:w="70" w:type="dxa"/>
        <w:right w:w="70" w:type="dxa"/>
      </w:tblCellMar>
    </w:tblPr>
  </w:style>
  <w:style w:type="table" w:customStyle="1" w:styleId="a1">
    <w:basedOn w:val="TableNormald"/>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top w:w="100" w:type="dxa"/>
        <w:left w:w="100" w:type="dxa"/>
        <w:bottom w:w="100" w:type="dxa"/>
        <w:right w:w="100" w:type="dxa"/>
      </w:tblCellMar>
    </w:tblPr>
  </w:style>
  <w:style w:type="table" w:customStyle="1" w:styleId="a3">
    <w:basedOn w:val="TableNormald"/>
    <w:tblPr>
      <w:tblStyleRowBandSize w:val="1"/>
      <w:tblStyleColBandSize w:val="1"/>
      <w:tblCellMar>
        <w:left w:w="70" w:type="dxa"/>
        <w:right w:w="70" w:type="dxa"/>
      </w:tblCellMar>
    </w:tblPr>
  </w:style>
  <w:style w:type="table" w:customStyle="1" w:styleId="a4">
    <w:basedOn w:val="TableNormald"/>
    <w:tblPr>
      <w:tblStyleRowBandSize w:val="1"/>
      <w:tblStyleColBandSize w:val="1"/>
      <w:tblCellMar>
        <w:left w:w="70" w:type="dxa"/>
        <w:right w:w="70" w:type="dxa"/>
      </w:tblCellMar>
    </w:tblPr>
  </w:style>
  <w:style w:type="table" w:customStyle="1" w:styleId="a5">
    <w:basedOn w:val="TableNormald"/>
    <w:tblPr>
      <w:tblStyleRowBandSize w:val="1"/>
      <w:tblStyleColBandSize w:val="1"/>
      <w:tblCellMar>
        <w:left w:w="70" w:type="dxa"/>
        <w:right w:w="70" w:type="dxa"/>
      </w:tblCellMar>
    </w:tblPr>
  </w:style>
  <w:style w:type="table" w:customStyle="1" w:styleId="a6">
    <w:basedOn w:val="TableNormald"/>
    <w:tblPr>
      <w:tblStyleRowBandSize w:val="1"/>
      <w:tblStyleColBandSize w:val="1"/>
      <w:tblCellMar>
        <w:left w:w="70" w:type="dxa"/>
        <w:right w:w="70" w:type="dxa"/>
      </w:tblCellMar>
    </w:tblPr>
  </w:style>
  <w:style w:type="table" w:customStyle="1" w:styleId="a7">
    <w:basedOn w:val="TableNormald"/>
    <w:tblPr>
      <w:tblStyleRowBandSize w:val="1"/>
      <w:tblStyleColBandSize w:val="1"/>
      <w:tblCellMar>
        <w:top w:w="100" w:type="dxa"/>
        <w:left w:w="100" w:type="dxa"/>
        <w:bottom w:w="100" w:type="dxa"/>
        <w:right w:w="100" w:type="dxa"/>
      </w:tblCellMar>
    </w:tblPr>
  </w:style>
  <w:style w:type="table" w:customStyle="1" w:styleId="a8">
    <w:basedOn w:val="TableNormald"/>
    <w:tblPr>
      <w:tblStyleRowBandSize w:val="1"/>
      <w:tblStyleColBandSize w:val="1"/>
      <w:tblCellMar>
        <w:top w:w="100" w:type="dxa"/>
        <w:left w:w="100" w:type="dxa"/>
        <w:bottom w:w="100" w:type="dxa"/>
        <w:right w:w="100" w:type="dxa"/>
      </w:tblCellMar>
    </w:tblPr>
  </w:style>
  <w:style w:type="table" w:customStyle="1" w:styleId="a9">
    <w:basedOn w:val="TableNormald"/>
    <w:tblPr>
      <w:tblStyleRowBandSize w:val="1"/>
      <w:tblStyleColBandSize w:val="1"/>
      <w:tblCellMar>
        <w:left w:w="70" w:type="dxa"/>
        <w:right w:w="7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CellMar>
        <w:top w:w="100" w:type="dxa"/>
        <w:left w:w="70" w:type="dxa"/>
        <w:bottom w:w="100" w:type="dxa"/>
        <w:right w:w="70" w:type="dxa"/>
      </w:tblCellMar>
    </w:tblPr>
  </w:style>
  <w:style w:type="table" w:customStyle="1" w:styleId="ac">
    <w:basedOn w:val="TableNormal6"/>
    <w:tblPr>
      <w:tblStyleRowBandSize w:val="1"/>
      <w:tblStyleColBandSize w:val="1"/>
      <w:tblCellMar>
        <w:top w:w="100" w:type="dxa"/>
        <w:left w:w="70" w:type="dxa"/>
        <w:bottom w:w="100" w:type="dxa"/>
        <w:right w:w="70" w:type="dxa"/>
      </w:tblCellMar>
    </w:tblPr>
  </w:style>
  <w:style w:type="table" w:customStyle="1" w:styleId="ad">
    <w:basedOn w:val="TableNormal6"/>
    <w:tblPr>
      <w:tblStyleRowBandSize w:val="1"/>
      <w:tblStyleColBandSize w:val="1"/>
      <w:tblCellMar>
        <w:top w:w="100" w:type="dxa"/>
        <w:left w:w="100" w:type="dxa"/>
        <w:bottom w:w="100" w:type="dxa"/>
        <w:right w:w="100" w:type="dxa"/>
      </w:tblCellMar>
    </w:tblPr>
  </w:style>
  <w:style w:type="table" w:customStyle="1" w:styleId="ae">
    <w:basedOn w:val="TableNormal6"/>
    <w:tblPr>
      <w:tblStyleRowBandSize w:val="1"/>
      <w:tblStyleColBandSize w:val="1"/>
      <w:tblCellMar>
        <w:top w:w="100" w:type="dxa"/>
        <w:left w:w="100" w:type="dxa"/>
        <w:bottom w:w="100" w:type="dxa"/>
        <w:right w:w="100" w:type="dxa"/>
      </w:tblCellMar>
    </w:tblPr>
  </w:style>
  <w:style w:type="table" w:customStyle="1" w:styleId="af">
    <w:basedOn w:val="TableNormal6"/>
    <w:tblPr>
      <w:tblStyleRowBandSize w:val="1"/>
      <w:tblStyleColBandSize w:val="1"/>
      <w:tblCellMar>
        <w:top w:w="100" w:type="dxa"/>
        <w:left w:w="100" w:type="dxa"/>
        <w:bottom w:w="100" w:type="dxa"/>
        <w:right w:w="100" w:type="dxa"/>
      </w:tblCellMar>
    </w:tblPr>
  </w:style>
  <w:style w:type="table" w:customStyle="1" w:styleId="af0">
    <w:basedOn w:val="TableNormal6"/>
    <w:tblPr>
      <w:tblStyleRowBandSize w:val="1"/>
      <w:tblStyleColBandSize w:val="1"/>
      <w:tblCellMar>
        <w:top w:w="100" w:type="dxa"/>
        <w:left w:w="100" w:type="dxa"/>
        <w:bottom w:w="100" w:type="dxa"/>
        <w:right w:w="100" w:type="dxa"/>
      </w:tblCellMar>
    </w:tblPr>
  </w:style>
  <w:style w:type="table" w:customStyle="1" w:styleId="af1">
    <w:basedOn w:val="TableNormal6"/>
    <w:tblPr>
      <w:tblStyleRowBandSize w:val="1"/>
      <w:tblStyleColBandSize w:val="1"/>
      <w:tblCellMar>
        <w:top w:w="100" w:type="dxa"/>
        <w:left w:w="70" w:type="dxa"/>
        <w:bottom w:w="100" w:type="dxa"/>
        <w:right w:w="70" w:type="dxa"/>
      </w:tblCellMar>
    </w:tblPr>
  </w:style>
  <w:style w:type="table" w:customStyle="1" w:styleId="af2">
    <w:basedOn w:val="TableNormal6"/>
    <w:tblPr>
      <w:tblStyleRowBandSize w:val="1"/>
      <w:tblStyleColBandSize w:val="1"/>
      <w:tblCellMar>
        <w:top w:w="100" w:type="dxa"/>
        <w:left w:w="70" w:type="dxa"/>
        <w:bottom w:w="100" w:type="dxa"/>
        <w:right w:w="70" w:type="dxa"/>
      </w:tblCellMar>
    </w:tblPr>
  </w:style>
  <w:style w:type="table" w:customStyle="1" w:styleId="af3">
    <w:basedOn w:val="TableNormal6"/>
    <w:tblPr>
      <w:tblStyleRowBandSize w:val="1"/>
      <w:tblStyleColBandSize w:val="1"/>
      <w:tblCellMar>
        <w:top w:w="100" w:type="dxa"/>
        <w:left w:w="100" w:type="dxa"/>
        <w:bottom w:w="100" w:type="dxa"/>
        <w:right w:w="100" w:type="dxa"/>
      </w:tblCellMar>
    </w:tblPr>
  </w:style>
  <w:style w:type="table" w:customStyle="1" w:styleId="af4">
    <w:basedOn w:val="TableNormal6"/>
    <w:tblPr>
      <w:tblStyleRowBandSize w:val="1"/>
      <w:tblStyleColBandSize w:val="1"/>
      <w:tblCellMar>
        <w:top w:w="100" w:type="dxa"/>
        <w:left w:w="100" w:type="dxa"/>
        <w:bottom w:w="100" w:type="dxa"/>
        <w:right w:w="100" w:type="dxa"/>
      </w:tblCellMar>
    </w:tblPr>
  </w:style>
  <w:style w:type="table" w:customStyle="1" w:styleId="af5">
    <w:basedOn w:val="TableNormal6"/>
    <w:tblPr>
      <w:tblStyleRowBandSize w:val="1"/>
      <w:tblStyleColBandSize w:val="1"/>
      <w:tblCellMar>
        <w:top w:w="100" w:type="dxa"/>
        <w:left w:w="100" w:type="dxa"/>
        <w:bottom w:w="100" w:type="dxa"/>
        <w:right w:w="100" w:type="dxa"/>
      </w:tblCellMar>
    </w:tblPr>
  </w:style>
  <w:style w:type="table" w:customStyle="1" w:styleId="af6">
    <w:basedOn w:val="TableNormal6"/>
    <w:tblPr>
      <w:tblStyleRowBandSize w:val="1"/>
      <w:tblStyleColBandSize w:val="1"/>
      <w:tblCellMar>
        <w:top w:w="100" w:type="dxa"/>
        <w:left w:w="100" w:type="dxa"/>
        <w:bottom w:w="100" w:type="dxa"/>
        <w:right w:w="100" w:type="dxa"/>
      </w:tblCellMar>
    </w:tblPr>
  </w:style>
  <w:style w:type="table" w:customStyle="1" w:styleId="af7">
    <w:basedOn w:val="TableNormal6"/>
    <w:tblPr>
      <w:tblStyleRowBandSize w:val="1"/>
      <w:tblStyleColBandSize w:val="1"/>
      <w:tblCellMar>
        <w:top w:w="100" w:type="dxa"/>
        <w:left w:w="100" w:type="dxa"/>
        <w:bottom w:w="100" w:type="dxa"/>
        <w:right w:w="100" w:type="dxa"/>
      </w:tblCellMar>
    </w:tblPr>
  </w:style>
  <w:style w:type="table" w:customStyle="1" w:styleId="af8">
    <w:basedOn w:val="TableNormal6"/>
    <w:tblPr>
      <w:tblStyleRowBandSize w:val="1"/>
      <w:tblStyleColBandSize w:val="1"/>
      <w:tblCellMar>
        <w:top w:w="100" w:type="dxa"/>
        <w:left w:w="70" w:type="dxa"/>
        <w:bottom w:w="100" w:type="dxa"/>
        <w:right w:w="70" w:type="dxa"/>
      </w:tblCellMar>
    </w:tblPr>
  </w:style>
  <w:style w:type="table" w:customStyle="1" w:styleId="af9">
    <w:basedOn w:val="TableNormal6"/>
    <w:tblPr>
      <w:tblStyleRowBandSize w:val="1"/>
      <w:tblStyleColBandSize w:val="1"/>
      <w:tblCellMar>
        <w:top w:w="100" w:type="dxa"/>
        <w:left w:w="70" w:type="dxa"/>
        <w:bottom w:w="100" w:type="dxa"/>
        <w:right w:w="70" w:type="dxa"/>
      </w:tblCellMar>
    </w:tblPr>
  </w:style>
  <w:style w:type="table" w:customStyle="1" w:styleId="afa">
    <w:basedOn w:val="TableNormal6"/>
    <w:tblPr>
      <w:tblStyleRowBandSize w:val="1"/>
      <w:tblStyleColBandSize w:val="1"/>
      <w:tblCellMar>
        <w:top w:w="100" w:type="dxa"/>
        <w:left w:w="70" w:type="dxa"/>
        <w:bottom w:w="100" w:type="dxa"/>
        <w:right w:w="70" w:type="dxa"/>
      </w:tblCellMar>
    </w:tblPr>
  </w:style>
  <w:style w:type="table" w:customStyle="1" w:styleId="afb">
    <w:basedOn w:val="TableNormal6"/>
    <w:tblPr>
      <w:tblStyleRowBandSize w:val="1"/>
      <w:tblStyleColBandSize w:val="1"/>
      <w:tblCellMar>
        <w:top w:w="100" w:type="dxa"/>
        <w:left w:w="70" w:type="dxa"/>
        <w:bottom w:w="100" w:type="dxa"/>
        <w:right w:w="70" w:type="dxa"/>
      </w:tblCellMar>
    </w:tblPr>
  </w:style>
  <w:style w:type="table" w:customStyle="1" w:styleId="afc">
    <w:basedOn w:val="TableNormal6"/>
    <w:tblPr>
      <w:tblStyleRowBandSize w:val="1"/>
      <w:tblStyleColBandSize w:val="1"/>
      <w:tblCellMar>
        <w:top w:w="100" w:type="dxa"/>
        <w:left w:w="70" w:type="dxa"/>
        <w:bottom w:w="100" w:type="dxa"/>
        <w:right w:w="70" w:type="dxa"/>
      </w:tblCellMar>
    </w:tblPr>
  </w:style>
  <w:style w:type="table" w:customStyle="1" w:styleId="afd">
    <w:basedOn w:val="TableNormal6"/>
    <w:tblPr>
      <w:tblStyleRowBandSize w:val="1"/>
      <w:tblStyleColBandSize w:val="1"/>
      <w:tblCellMar>
        <w:top w:w="100" w:type="dxa"/>
        <w:left w:w="70" w:type="dxa"/>
        <w:bottom w:w="100" w:type="dxa"/>
        <w:right w:w="70" w:type="dxa"/>
      </w:tblCellMar>
    </w:tblPr>
  </w:style>
  <w:style w:type="table" w:customStyle="1" w:styleId="afe">
    <w:basedOn w:val="TableNormal6"/>
    <w:tblPr>
      <w:tblStyleRowBandSize w:val="1"/>
      <w:tblStyleColBandSize w:val="1"/>
      <w:tblCellMar>
        <w:top w:w="100" w:type="dxa"/>
        <w:left w:w="70" w:type="dxa"/>
        <w:bottom w:w="100" w:type="dxa"/>
        <w:right w:w="70" w:type="dxa"/>
      </w:tblCellMar>
    </w:tblPr>
  </w:style>
  <w:style w:type="table" w:customStyle="1" w:styleId="aff">
    <w:basedOn w:val="TableNormal0"/>
    <w:tblPr>
      <w:tblStyleRowBandSize w:val="1"/>
      <w:tblStyleColBandSize w:val="1"/>
      <w:tblCellMar>
        <w:top w:w="100" w:type="dxa"/>
        <w:left w:w="70" w:type="dxa"/>
        <w:bottom w:w="100" w:type="dxa"/>
        <w:right w:w="70" w:type="dxa"/>
      </w:tblCellMar>
    </w:tblPr>
  </w:style>
  <w:style w:type="table" w:customStyle="1" w:styleId="aff0">
    <w:basedOn w:val="TableNormal0"/>
    <w:tblPr>
      <w:tblStyleRowBandSize w:val="1"/>
      <w:tblStyleColBandSize w:val="1"/>
      <w:tblCellMar>
        <w:top w:w="100" w:type="dxa"/>
        <w:left w:w="70" w:type="dxa"/>
        <w:bottom w:w="100" w:type="dxa"/>
        <w:right w:w="70" w:type="dxa"/>
      </w:tblCellMar>
    </w:tblPr>
  </w:style>
  <w:style w:type="table" w:customStyle="1" w:styleId="aff1">
    <w:basedOn w:val="TableNormal0"/>
    <w:tblPr>
      <w:tblStyleRowBandSize w:val="1"/>
      <w:tblStyleColBandSize w:val="1"/>
      <w:tblCellMar>
        <w:top w:w="100" w:type="dxa"/>
        <w:left w:w="70" w:type="dxa"/>
        <w:bottom w:w="100" w:type="dxa"/>
        <w:right w:w="70" w:type="dxa"/>
      </w:tblCellMar>
    </w:tblPr>
  </w:style>
  <w:style w:type="table" w:customStyle="1" w:styleId="aff2">
    <w:basedOn w:val="TableNormal0"/>
    <w:tblPr>
      <w:tblStyleRowBandSize w:val="1"/>
      <w:tblStyleColBandSize w:val="1"/>
      <w:tblCellMar>
        <w:top w:w="100" w:type="dxa"/>
        <w:left w:w="70" w:type="dxa"/>
        <w:bottom w:w="100" w:type="dxa"/>
        <w:right w:w="70" w:type="dxa"/>
      </w:tblCellMar>
    </w:tblPr>
  </w:style>
  <w:style w:type="table" w:customStyle="1" w:styleId="aff3">
    <w:basedOn w:val="TableNormal0"/>
    <w:tblPr>
      <w:tblStyleRowBandSize w:val="1"/>
      <w:tblStyleColBandSize w:val="1"/>
      <w:tblCellMar>
        <w:top w:w="100" w:type="dxa"/>
        <w:left w:w="70" w:type="dxa"/>
        <w:bottom w:w="100" w:type="dxa"/>
        <w:right w:w="70" w:type="dxa"/>
      </w:tblCellMar>
    </w:tblPr>
  </w:style>
  <w:style w:type="table" w:customStyle="1" w:styleId="aff4">
    <w:basedOn w:val="TableNormal0"/>
    <w:tblPr>
      <w:tblStyleRowBandSize w:val="1"/>
      <w:tblStyleColBandSize w:val="1"/>
      <w:tblCellMar>
        <w:top w:w="100" w:type="dxa"/>
        <w:left w:w="70" w:type="dxa"/>
        <w:bottom w:w="100" w:type="dxa"/>
        <w:right w:w="70" w:type="dxa"/>
      </w:tblCellMar>
    </w:tblPr>
  </w:style>
  <w:style w:type="paragraph" w:styleId="Textoindependiente">
    <w:name w:val="Body Text"/>
    <w:basedOn w:val="Normal"/>
    <w:link w:val="TextoindependienteCar"/>
    <w:uiPriority w:val="1"/>
    <w:qFormat/>
    <w:rsid w:val="00DE0C0D"/>
    <w:pPr>
      <w:widowControl w:val="0"/>
      <w:autoSpaceDE w:val="0"/>
      <w:autoSpaceDN w:val="0"/>
    </w:pPr>
    <w:rPr>
      <w:rFonts w:ascii="Times New Roman" w:eastAsia="Times New Roman" w:hAnsi="Times New Roman" w:cs="Times New Roman"/>
      <w:sz w:val="22"/>
      <w:szCs w:val="22"/>
      <w:lang w:eastAsia="en-US"/>
    </w:rPr>
  </w:style>
  <w:style w:type="character" w:customStyle="1" w:styleId="TextoindependienteCar">
    <w:name w:val="Texto independiente Car"/>
    <w:basedOn w:val="Fuentedeprrafopredeter"/>
    <w:link w:val="Textoindependiente"/>
    <w:uiPriority w:val="1"/>
    <w:rsid w:val="00DE0C0D"/>
    <w:rPr>
      <w:rFonts w:ascii="Times New Roman" w:eastAsia="Times New Roman" w:hAnsi="Times New Roman" w:cs="Times New Roman"/>
      <w:sz w:val="22"/>
      <w:szCs w:val="22"/>
      <w:lang w:eastAsia="en-US"/>
    </w:r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DE0C0D"/>
    <w:pPr>
      <w:widowControl w:val="0"/>
      <w:autoSpaceDE w:val="0"/>
      <w:autoSpaceDN w:val="0"/>
      <w:ind w:left="978" w:hanging="361"/>
      <w:jc w:val="both"/>
    </w:pPr>
    <w:rPr>
      <w:rFonts w:ascii="Times New Roman" w:eastAsia="Times New Roman" w:hAnsi="Times New Roman" w:cs="Times New Roman"/>
      <w:sz w:val="22"/>
      <w:szCs w:val="22"/>
      <w:lang w:eastAsia="en-U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basedOn w:val="Fuentedeprrafopredeter"/>
    <w:link w:val="Prrafodelista"/>
    <w:uiPriority w:val="34"/>
    <w:qFormat/>
    <w:locked/>
    <w:rsid w:val="004A29ED"/>
    <w:rPr>
      <w:rFonts w:ascii="Times New Roman" w:eastAsia="Times New Roman" w:hAnsi="Times New Roman" w:cs="Times New Roman"/>
      <w:sz w:val="22"/>
      <w:szCs w:val="22"/>
      <w:lang w:eastAsia="en-US"/>
    </w:rPr>
  </w:style>
  <w:style w:type="paragraph" w:customStyle="1" w:styleId="Default">
    <w:name w:val="Default"/>
    <w:rsid w:val="00A765E5"/>
    <w:pPr>
      <w:autoSpaceDE w:val="0"/>
      <w:autoSpaceDN w:val="0"/>
      <w:adjustRightInd w:val="0"/>
    </w:pPr>
    <w:rPr>
      <w:color w:val="00000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8whUjh0MVDqEYABzlKG2WvzYZg==">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3</Pages>
  <Words>593</Words>
  <Characters>3263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ALEXANDER MARTINEZ LOPEZ</dc:creator>
  <cp:lastModifiedBy>MORRISON TARQUINO DAZA</cp:lastModifiedBy>
  <cp:revision>10</cp:revision>
  <dcterms:created xsi:type="dcterms:W3CDTF">2025-05-29T15:41:00Z</dcterms:created>
  <dcterms:modified xsi:type="dcterms:W3CDTF">2025-06-08T00:57:00Z</dcterms:modified>
</cp:coreProperties>
</file>